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60018" w14:textId="38360BD8" w:rsidR="00FA62AD" w:rsidRDefault="00295CDB" w:rsidP="00BA655D">
      <w:pPr>
        <w:tabs>
          <w:tab w:val="left" w:pos="1701"/>
        </w:tabs>
        <w:jc w:val="center"/>
        <w:rPr>
          <w:rFonts w:ascii="Fira Sans" w:hAnsi="Fira Sans"/>
          <w:b/>
          <w:bCs/>
          <w:sz w:val="28"/>
          <w:szCs w:val="28"/>
        </w:rPr>
      </w:pPr>
      <w:bookmarkStart w:id="0" w:name="_Hlk204072240"/>
      <w:bookmarkEnd w:id="0"/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4E26573A" wp14:editId="6D47102C">
            <wp:simplePos x="0" y="0"/>
            <wp:positionH relativeFrom="page">
              <wp:align>left</wp:align>
            </wp:positionH>
            <wp:positionV relativeFrom="page">
              <wp:posOffset>-692150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62A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5AF15" wp14:editId="5D6AAFC3">
                <wp:simplePos x="0" y="0"/>
                <wp:positionH relativeFrom="column">
                  <wp:posOffset>-379095</wp:posOffset>
                </wp:positionH>
                <wp:positionV relativeFrom="paragraph">
                  <wp:posOffset>2351405</wp:posOffset>
                </wp:positionV>
                <wp:extent cx="4000500" cy="1835785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1835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763F0A44" w14:textId="77777777" w:rsidR="00295CD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42785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</w:t>
                            </w:r>
                            <w:r w:rsidR="00B467EB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D589A83" w14:textId="3321D991" w:rsidR="00FA62AD" w:rsidRDefault="00B467EB" w:rsidP="00295CDB">
                            <w:pPr>
                              <w:jc w:val="center"/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Lot</w:t>
                            </w:r>
                            <w:r w:rsidR="00295CDB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15DFC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15DFC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Gestion des noms de domaine</w:t>
                            </w:r>
                          </w:p>
                          <w:p w14:paraId="1CE151EE" w14:textId="77777777" w:rsidR="00295CDB" w:rsidRDefault="00295CDB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207F5141" w14:textId="6CB80C5C" w:rsidR="00295CDB" w:rsidRPr="00F42785" w:rsidRDefault="00295CDB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N°</w:t>
                            </w:r>
                            <w:r w:rsidR="00467279" w:rsidRPr="00467279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2025/99/IC/02/030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5AF1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85.15pt;width:315pt;height:144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" filled="f" stroked="f" strokeweight=".5pt">
                <v:stroke dashstyle="dash"/>
                <v:textbox>
                  <w:txbxContent>
                    <w:p w14:paraId="763F0A44" w14:textId="77777777" w:rsidR="00295CD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F42785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OBJET DU MARCHÉ :</w:t>
                      </w:r>
                      <w:r w:rsidR="00B467EB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D589A83" w14:textId="3321D991" w:rsidR="00FA62AD" w:rsidRDefault="00B467EB" w:rsidP="00295CDB">
                      <w:pPr>
                        <w:jc w:val="center"/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Lot</w:t>
                      </w:r>
                      <w:r w:rsidR="00295CDB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F15DFC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F15DFC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Gestion des noms de domaine</w:t>
                      </w:r>
                    </w:p>
                    <w:p w14:paraId="1CE151EE" w14:textId="77777777" w:rsidR="00295CDB" w:rsidRDefault="00295CDB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207F5141" w14:textId="6CB80C5C" w:rsidR="00295CDB" w:rsidRPr="00F42785" w:rsidRDefault="00295CDB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N°</w:t>
                      </w:r>
                      <w:r w:rsidR="00467279" w:rsidRPr="00467279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2025/99/IC/02/030</w:t>
                      </w:r>
                    </w:p>
                  </w:txbxContent>
                </v:textbox>
              </v:shape>
            </w:pict>
          </mc:Fallback>
        </mc:AlternateContent>
      </w:r>
      <w:r w:rsidR="00FA62AD"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60E5C4B3" wp14:editId="49FD7382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4E7B8E" w14:textId="179EF9F0" w:rsidR="00FA62AD" w:rsidRDefault="00FA62AD" w:rsidP="00BE541D">
      <w:pPr>
        <w:rPr>
          <w:rFonts w:ascii="Fira Sans" w:hAnsi="Fira Sans"/>
          <w:b/>
          <w:bCs/>
          <w:sz w:val="28"/>
          <w:szCs w:val="28"/>
        </w:rPr>
      </w:pPr>
    </w:p>
    <w:p w14:paraId="51E69A1A" w14:textId="463D290B" w:rsidR="00FA62AD" w:rsidRPr="00F019B7" w:rsidRDefault="00295CDB" w:rsidP="00F019B7">
      <w:pPr>
        <w:jc w:val="center"/>
        <w:rPr>
          <w:rFonts w:ascii="Fira Sans" w:hAnsi="Fira Sans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D2562E" wp14:editId="58BA3076">
                <wp:simplePos x="0" y="0"/>
                <wp:positionH relativeFrom="column">
                  <wp:posOffset>4227830</wp:posOffset>
                </wp:positionH>
                <wp:positionV relativeFrom="paragraph">
                  <wp:posOffset>193675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398A33" w14:textId="335C7432" w:rsidR="00295CDB" w:rsidRPr="00096ABB" w:rsidRDefault="00295CDB" w:rsidP="00295CDB">
                            <w:pPr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PROCÉDURE</w:t>
                            </w:r>
                          </w:p>
                          <w:p w14:paraId="097796EE" w14:textId="77777777" w:rsidR="00295CDB" w:rsidRPr="00F43C4B" w:rsidRDefault="00295CDB" w:rsidP="00295CDB">
                            <w:pPr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Fira Sans" w:eastAsia="Calibri" w:hAnsi="Fira Sans" w:cs="Calibri"/>
                              </w:rPr>
                            </w:pPr>
                            <w:r w:rsidRPr="00F43C4B">
                              <w:rPr>
                                <w:rFonts w:ascii="Fira Sans" w:eastAsia="Calibri" w:hAnsi="Fira Sans" w:cs="Calibri"/>
                              </w:rPr>
                              <w:t>Appel d’offre ouvert</w:t>
                            </w:r>
                          </w:p>
                          <w:p w14:paraId="4BA0BE74" w14:textId="77777777" w:rsidR="00295CDB" w:rsidRPr="00096ABB" w:rsidRDefault="00295CDB" w:rsidP="00295CDB">
                            <w:pPr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441A0CF2" w14:textId="7CE27CE6" w:rsidR="00295CDB" w:rsidRDefault="00295CDB" w:rsidP="00295CDB">
                            <w:pPr>
                              <w:spacing w:line="254" w:lineRule="auto"/>
                              <w:rPr>
                                <w:rFonts w:ascii="Fira Sans" w:eastAsia="Calibri" w:hAnsi="Fira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eastAsia="Calibri" w:hAnsi="Fira Sans"/>
                                <w:b/>
                                <w:bCs/>
                              </w:rPr>
                              <w:t>GROUPEMENT DE COMMANDES entre :</w:t>
                            </w:r>
                          </w:p>
                          <w:p w14:paraId="366F85E4" w14:textId="77777777" w:rsidR="00295CDB" w:rsidRPr="00DE7A17" w:rsidRDefault="00295CDB" w:rsidP="00295CDB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54" w:lineRule="auto"/>
                              <w:rPr>
                                <w:rFonts w:ascii="Fira Sans" w:hAnsi="Fira Sans"/>
                              </w:rPr>
                            </w:pPr>
                            <w:r w:rsidRPr="00DE7A17">
                              <w:rPr>
                                <w:rFonts w:ascii="Fira Sans" w:hAnsi="Fira Sans"/>
                              </w:rPr>
                              <w:t>La Chambre de Commerce et d’Industrie Nice – Côte d’Azur</w:t>
                            </w:r>
                          </w:p>
                          <w:p w14:paraId="6F705DD5" w14:textId="77777777" w:rsidR="00295CDB" w:rsidRDefault="00295CDB" w:rsidP="00295CDB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54" w:lineRule="auto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La Chambre de Commerce et d’Industrie Aix-Marseille-Provence</w:t>
                            </w:r>
                          </w:p>
                          <w:p w14:paraId="44CCA4B2" w14:textId="77777777" w:rsidR="00295CDB" w:rsidRDefault="00295CDB" w:rsidP="00295CDB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54" w:lineRule="auto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La Chambre de Commerce et d’Industrie Var</w:t>
                            </w:r>
                          </w:p>
                          <w:p w14:paraId="79D7254A" w14:textId="77777777" w:rsidR="00295CDB" w:rsidRDefault="00295CDB" w:rsidP="00295CDB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54" w:lineRule="auto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La Chambre de Commerce et d’Industrie Pays d’Arles</w:t>
                            </w:r>
                          </w:p>
                          <w:p w14:paraId="4DBE85E9" w14:textId="77777777" w:rsidR="00295CDB" w:rsidRDefault="00295CDB" w:rsidP="00295CDB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54" w:lineRule="auto"/>
                              <w:rPr>
                                <w:rFonts w:ascii="Fira Sans" w:hAnsi="Fira Sans"/>
                              </w:rPr>
                            </w:pPr>
                            <w:r w:rsidRPr="00DE7A17">
                              <w:rPr>
                                <w:rFonts w:ascii="Fira Sans" w:hAnsi="Fira Sans"/>
                              </w:rPr>
                              <w:t>SAS VP GOLFE JUAN</w:t>
                            </w:r>
                          </w:p>
                          <w:p w14:paraId="21242991" w14:textId="77777777" w:rsidR="00295CDB" w:rsidRDefault="00295CDB" w:rsidP="00295CDB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54" w:lineRule="auto"/>
                              <w:rPr>
                                <w:rFonts w:ascii="Fira Sans" w:hAnsi="Fira Sans"/>
                              </w:rPr>
                            </w:pPr>
                            <w:r w:rsidRPr="00DE7A17">
                              <w:rPr>
                                <w:rFonts w:ascii="Fira Sans" w:hAnsi="Fira Sans"/>
                              </w:rPr>
                              <w:t>SAS Gallice 21</w:t>
                            </w:r>
                          </w:p>
                          <w:p w14:paraId="035B6510" w14:textId="77777777" w:rsidR="00295CDB" w:rsidRPr="00DE7A17" w:rsidRDefault="00295CDB" w:rsidP="00295CDB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54" w:lineRule="auto"/>
                              <w:rPr>
                                <w:rFonts w:ascii="Fira Sans" w:hAnsi="Fira Sans"/>
                              </w:rPr>
                            </w:pPr>
                            <w:r w:rsidRPr="00DE7A17">
                              <w:rPr>
                                <w:rFonts w:ascii="Fira Sans" w:hAnsi="Fira Sans"/>
                              </w:rPr>
                              <w:t>SAS Vauban 21</w:t>
                            </w:r>
                          </w:p>
                          <w:p w14:paraId="6440D1EE" w14:textId="77777777" w:rsidR="00295CDB" w:rsidRDefault="00295CDB" w:rsidP="00295CDB">
                            <w:pPr>
                              <w:spacing w:line="254" w:lineRule="auto"/>
                              <w:rPr>
                                <w:rFonts w:ascii="Fira Sans" w:eastAsia="Calibri" w:hAnsi="Fira Sans"/>
                                <w:b/>
                                <w:bCs/>
                              </w:rPr>
                            </w:pPr>
                          </w:p>
                          <w:p w14:paraId="315033D3" w14:textId="17DE827C" w:rsidR="00295CDB" w:rsidRDefault="00295CDB" w:rsidP="00295CDB">
                            <w:pPr>
                              <w:spacing w:line="254" w:lineRule="auto"/>
                              <w:rPr>
                                <w:rFonts w:ascii="Fira Sans" w:eastAsia="Calibri" w:hAnsi="Fira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eastAsia="Calibri" w:hAnsi="Fira Sans"/>
                                <w:b/>
                                <w:bCs/>
                              </w:rPr>
                              <w:t xml:space="preserve">Coordonnateur : </w:t>
                            </w:r>
                          </w:p>
                          <w:p w14:paraId="0CF30AC1" w14:textId="4E409D7F" w:rsidR="00295CDB" w:rsidRPr="00295CDB" w:rsidRDefault="00295CDB" w:rsidP="00295CDB">
                            <w:pPr>
                              <w:spacing w:line="254" w:lineRule="auto"/>
                              <w:rPr>
                                <w:rFonts w:ascii="Fira Sans" w:eastAsia="Calibri" w:hAnsi="Fira Sans"/>
                              </w:rPr>
                            </w:pPr>
                            <w:r>
                              <w:rPr>
                                <w:rFonts w:ascii="Fira Sans" w:eastAsia="Calibri" w:hAnsi="Fira Sans"/>
                              </w:rPr>
                              <w:t>La Chambre de Commerce et d’Industrie Nice Côte d’Azur (CCINCA)</w:t>
                            </w:r>
                          </w:p>
                          <w:p w14:paraId="62F03C0B" w14:textId="77777777" w:rsidR="00295CDB" w:rsidRDefault="00295CDB" w:rsidP="00295CDB">
                            <w:pPr>
                              <w:spacing w:line="254" w:lineRule="auto"/>
                              <w:rPr>
                                <w:rFonts w:ascii="Fira Sans" w:eastAsia="Calibri" w:hAnsi="Fira Sans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Fira Sans" w:eastAsia="Calibri" w:hAnsi="Fira Sans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  <w:p w14:paraId="0283863C" w14:textId="68F9469F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D2562E" id="_x0000_s1027" type="#_x0000_t202" style="position:absolute;left:0;text-align:left;margin-left:332.9pt;margin-top:15.25pt;width:176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USWGg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" filled="f" stroked="f" strokeweight=".5pt">
                <v:textbox style="mso-fit-shape-to-text:t">
                  <w:txbxContent>
                    <w:p w14:paraId="1B398A33" w14:textId="335C7432" w:rsidR="00295CDB" w:rsidRPr="00096ABB" w:rsidRDefault="00295CDB" w:rsidP="00295CDB">
                      <w:pPr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PROCÉDURE</w:t>
                      </w:r>
                    </w:p>
                    <w:p w14:paraId="097796EE" w14:textId="77777777" w:rsidR="00295CDB" w:rsidRPr="00F43C4B" w:rsidRDefault="00295CDB" w:rsidP="00295CDB">
                      <w:pPr>
                        <w:numPr>
                          <w:ilvl w:val="0"/>
                          <w:numId w:val="12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Fira Sans" w:eastAsia="Calibri" w:hAnsi="Fira Sans" w:cs="Calibri"/>
                        </w:rPr>
                      </w:pPr>
                      <w:r w:rsidRPr="00F43C4B">
                        <w:rPr>
                          <w:rFonts w:ascii="Fira Sans" w:eastAsia="Calibri" w:hAnsi="Fira Sans" w:cs="Calibri"/>
                        </w:rPr>
                        <w:t>Appel d’offre ouvert</w:t>
                      </w:r>
                    </w:p>
                    <w:p w14:paraId="4BA0BE74" w14:textId="77777777" w:rsidR="00295CDB" w:rsidRPr="00096ABB" w:rsidRDefault="00295CDB" w:rsidP="00295CDB">
                      <w:pPr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441A0CF2" w14:textId="7CE27CE6" w:rsidR="00295CDB" w:rsidRDefault="00295CDB" w:rsidP="00295CDB">
                      <w:pPr>
                        <w:spacing w:line="254" w:lineRule="auto"/>
                        <w:rPr>
                          <w:rFonts w:ascii="Fira Sans" w:eastAsia="Calibri" w:hAnsi="Fira Sans"/>
                          <w:b/>
                          <w:bCs/>
                        </w:rPr>
                      </w:pPr>
                      <w:r>
                        <w:rPr>
                          <w:rFonts w:ascii="Fira Sans" w:eastAsia="Calibri" w:hAnsi="Fira Sans"/>
                          <w:b/>
                          <w:bCs/>
                        </w:rPr>
                        <w:t>GROUPEMENT DE COMMANDES entre :</w:t>
                      </w:r>
                    </w:p>
                    <w:p w14:paraId="366F85E4" w14:textId="77777777" w:rsidR="00295CDB" w:rsidRPr="00DE7A17" w:rsidRDefault="00295CDB" w:rsidP="00295CDB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54" w:lineRule="auto"/>
                        <w:rPr>
                          <w:rFonts w:ascii="Fira Sans" w:hAnsi="Fira Sans"/>
                        </w:rPr>
                      </w:pPr>
                      <w:r w:rsidRPr="00DE7A17">
                        <w:rPr>
                          <w:rFonts w:ascii="Fira Sans" w:hAnsi="Fira Sans"/>
                        </w:rPr>
                        <w:t>La Chambre de Commerce et d’Industrie Nice – Côte d’Azur</w:t>
                      </w:r>
                    </w:p>
                    <w:p w14:paraId="6F705DD5" w14:textId="77777777" w:rsidR="00295CDB" w:rsidRDefault="00295CDB" w:rsidP="00295CDB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54" w:lineRule="auto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>La Chambre de Commerce et d’Industrie Aix-Marseille-Provence</w:t>
                      </w:r>
                    </w:p>
                    <w:p w14:paraId="44CCA4B2" w14:textId="77777777" w:rsidR="00295CDB" w:rsidRDefault="00295CDB" w:rsidP="00295CDB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54" w:lineRule="auto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>La Chambre de Commerce et d’Industrie Var</w:t>
                      </w:r>
                    </w:p>
                    <w:p w14:paraId="79D7254A" w14:textId="77777777" w:rsidR="00295CDB" w:rsidRDefault="00295CDB" w:rsidP="00295CDB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54" w:lineRule="auto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>La Chambre de Commerce et d’Industrie Pays d’Arles</w:t>
                      </w:r>
                    </w:p>
                    <w:p w14:paraId="4DBE85E9" w14:textId="77777777" w:rsidR="00295CDB" w:rsidRDefault="00295CDB" w:rsidP="00295CDB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54" w:lineRule="auto"/>
                        <w:rPr>
                          <w:rFonts w:ascii="Fira Sans" w:hAnsi="Fira Sans"/>
                        </w:rPr>
                      </w:pPr>
                      <w:r w:rsidRPr="00DE7A17">
                        <w:rPr>
                          <w:rFonts w:ascii="Fira Sans" w:hAnsi="Fira Sans"/>
                        </w:rPr>
                        <w:t>SAS VP GOLFE JUAN</w:t>
                      </w:r>
                    </w:p>
                    <w:p w14:paraId="21242991" w14:textId="77777777" w:rsidR="00295CDB" w:rsidRDefault="00295CDB" w:rsidP="00295CDB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54" w:lineRule="auto"/>
                        <w:rPr>
                          <w:rFonts w:ascii="Fira Sans" w:hAnsi="Fira Sans"/>
                        </w:rPr>
                      </w:pPr>
                      <w:r w:rsidRPr="00DE7A17">
                        <w:rPr>
                          <w:rFonts w:ascii="Fira Sans" w:hAnsi="Fira Sans"/>
                        </w:rPr>
                        <w:t>SAS Gallice 21</w:t>
                      </w:r>
                    </w:p>
                    <w:p w14:paraId="035B6510" w14:textId="77777777" w:rsidR="00295CDB" w:rsidRPr="00DE7A17" w:rsidRDefault="00295CDB" w:rsidP="00295CDB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54" w:lineRule="auto"/>
                        <w:rPr>
                          <w:rFonts w:ascii="Fira Sans" w:hAnsi="Fira Sans"/>
                        </w:rPr>
                      </w:pPr>
                      <w:r w:rsidRPr="00DE7A17">
                        <w:rPr>
                          <w:rFonts w:ascii="Fira Sans" w:hAnsi="Fira Sans"/>
                        </w:rPr>
                        <w:t>SAS Vauban 21</w:t>
                      </w:r>
                    </w:p>
                    <w:p w14:paraId="6440D1EE" w14:textId="77777777" w:rsidR="00295CDB" w:rsidRDefault="00295CDB" w:rsidP="00295CDB">
                      <w:pPr>
                        <w:spacing w:line="254" w:lineRule="auto"/>
                        <w:rPr>
                          <w:rFonts w:ascii="Fira Sans" w:eastAsia="Calibri" w:hAnsi="Fira Sans"/>
                          <w:b/>
                          <w:bCs/>
                        </w:rPr>
                      </w:pPr>
                    </w:p>
                    <w:p w14:paraId="315033D3" w14:textId="17DE827C" w:rsidR="00295CDB" w:rsidRDefault="00295CDB" w:rsidP="00295CDB">
                      <w:pPr>
                        <w:spacing w:line="254" w:lineRule="auto"/>
                        <w:rPr>
                          <w:rFonts w:ascii="Fira Sans" w:eastAsia="Calibri" w:hAnsi="Fira Sans"/>
                          <w:b/>
                          <w:bCs/>
                        </w:rPr>
                      </w:pPr>
                      <w:r>
                        <w:rPr>
                          <w:rFonts w:ascii="Fira Sans" w:eastAsia="Calibri" w:hAnsi="Fira Sans"/>
                          <w:b/>
                          <w:bCs/>
                        </w:rPr>
                        <w:t xml:space="preserve">Coordonnateur : </w:t>
                      </w:r>
                    </w:p>
                    <w:p w14:paraId="0CF30AC1" w14:textId="4E409D7F" w:rsidR="00295CDB" w:rsidRPr="00295CDB" w:rsidRDefault="00295CDB" w:rsidP="00295CDB">
                      <w:pPr>
                        <w:spacing w:line="254" w:lineRule="auto"/>
                        <w:rPr>
                          <w:rFonts w:ascii="Fira Sans" w:eastAsia="Calibri" w:hAnsi="Fira Sans"/>
                        </w:rPr>
                      </w:pPr>
                      <w:r>
                        <w:rPr>
                          <w:rFonts w:ascii="Fira Sans" w:eastAsia="Calibri" w:hAnsi="Fira Sans"/>
                        </w:rPr>
                        <w:t>La Chambre de Commerce et d’Industrie Nice Côte d’Azur (CCINCA)</w:t>
                      </w:r>
                    </w:p>
                    <w:p w14:paraId="62F03C0B" w14:textId="77777777" w:rsidR="00295CDB" w:rsidRDefault="00295CDB" w:rsidP="00295CDB">
                      <w:pPr>
                        <w:spacing w:line="254" w:lineRule="auto"/>
                        <w:rPr>
                          <w:rFonts w:ascii="Fira Sans" w:eastAsia="Calibri" w:hAnsi="Fira Sans"/>
                          <w:i/>
                          <w:iCs/>
                        </w:rPr>
                      </w:pPr>
                      <w:r>
                        <w:rPr>
                          <w:rFonts w:ascii="Fira Sans" w:eastAsia="Calibri" w:hAnsi="Fira Sans"/>
                          <w:i/>
                          <w:iCs/>
                        </w:rPr>
                        <w:t>Prise en qualité de Pouvoir Adjudicateur</w:t>
                      </w:r>
                    </w:p>
                    <w:p w14:paraId="0283863C" w14:textId="68F9469F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B2B509" w14:textId="60153581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55DE85" wp14:editId="1746525C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67935C7D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5DE85" id="_x0000_s1028" type="#_x0000_t202" style="position:absolute;left:0;text-align:left;margin-left:-29.85pt;margin-top:12.35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" filled="f" stroked="f" strokeweight=".5pt">
                <v:textbox>
                  <w:txbxContent>
                    <w:p w14:paraId="0DD17BCA" w14:textId="67935C7D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0D7C8B9" w14:textId="6E8467DE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513C52B9" w14:textId="79B6DF4C" w:rsidR="00FA62AD" w:rsidRDefault="00FA62AD" w:rsidP="00595B10">
      <w:pPr>
        <w:rPr>
          <w:rFonts w:ascii="Fira Sans" w:hAnsi="Fira Sans"/>
          <w:b/>
          <w:bCs/>
        </w:rPr>
      </w:pPr>
    </w:p>
    <w:p w14:paraId="123E642B" w14:textId="23E27FFF" w:rsidR="00FA62AD" w:rsidRPr="00056D8D" w:rsidRDefault="00FA62AD" w:rsidP="00595B10">
      <w:pPr>
        <w:rPr>
          <w:rFonts w:ascii="Fira Sans" w:hAnsi="Fira Sans"/>
          <w:b/>
          <w:bCs/>
        </w:rPr>
      </w:pPr>
    </w:p>
    <w:p w14:paraId="7E957ABE" w14:textId="4BD40B94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</w:p>
    <w:p w14:paraId="4792C2E9" w14:textId="23C135E4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</w:p>
    <w:p w14:paraId="644C3018" w14:textId="1E0CF227" w:rsidR="00FA62AD" w:rsidRPr="00595B10" w:rsidRDefault="00FA62AD" w:rsidP="00595B10">
      <w:pPr>
        <w:rPr>
          <w:b/>
          <w:bCs/>
        </w:rPr>
      </w:pPr>
    </w:p>
    <w:p w14:paraId="59DE058C" w14:textId="43378AF6" w:rsidR="00FA62AD" w:rsidRDefault="00FA62AD"/>
    <w:p w14:paraId="3587BD3A" w14:textId="02FF8A98" w:rsidR="00FA62AD" w:rsidRDefault="00FA62AD"/>
    <w:p w14:paraId="33732D18" w14:textId="67D99F95" w:rsidR="00FA62AD" w:rsidRDefault="00FA62AD"/>
    <w:p w14:paraId="4FE1E4F0" w14:textId="3146B39B" w:rsidR="008F6EA4" w:rsidRDefault="008F6EA4" w:rsidP="008F6EA4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2818BA3C" w14:textId="6AF529A8" w:rsidR="008F6EA4" w:rsidRDefault="00137F83" w:rsidP="008F6EA4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42726EFD" w14:textId="1F099CFA" w:rsidR="003B4BAB" w:rsidRDefault="003B4BAB" w:rsidP="003B4BAB">
      <w:pPr>
        <w:pStyle w:val="Paragraphedeliste"/>
        <w:ind w:left="840"/>
        <w:jc w:val="center"/>
        <w:rPr>
          <w:noProof/>
        </w:rPr>
      </w:pPr>
    </w:p>
    <w:p w14:paraId="4E6C57E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B53C90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394AF6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DC4E9D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6E863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3033E44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263A8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7419D57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E5D48DA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6066E9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2B41D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1A8335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96F3D99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E03FF1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BA0755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3288B6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FB14B8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7A5B3B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FCD30B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AD0A5B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3E80024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AD98C46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D2E20A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FB945B" w14:textId="72AD04AD" w:rsidR="008A7204" w:rsidRPr="008A7204" w:rsidRDefault="008A7204" w:rsidP="00E8471E">
      <w:pPr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lastRenderedPageBreak/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Téléphone et Adresse mail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79484EE4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0E00A1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295CDB">
        <w:rPr>
          <w:rFonts w:ascii="Palatino Linotype" w:hAnsi="Palatino Linotype" w:cstheme="minorHAnsi"/>
          <w:i/>
          <w:iCs/>
          <w:color w:val="1F3864" w:themeColor="accent1" w:themeShade="80"/>
        </w:rPr>
        <w:t>8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4EF827D" w14:textId="77777777" w:rsidR="00CE2BB5" w:rsidRPr="008B5D6C" w:rsidRDefault="00CE2BB5" w:rsidP="00CE2BB5">
      <w:pPr>
        <w:ind w:left="1416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7B197E7A" w14:textId="77777777" w:rsidR="003B4BAB" w:rsidRPr="008471B2" w:rsidRDefault="003B4BAB" w:rsidP="003B4BAB">
      <w:pPr>
        <w:tabs>
          <w:tab w:val="left" w:pos="3345"/>
        </w:tabs>
        <w:jc w:val="center"/>
        <w:rPr>
          <w:rFonts w:ascii="Palatino Linotype" w:hAnsi="Palatino Linotype" w:cstheme="minorHAnsi"/>
          <w:color w:val="44546A" w:themeColor="text2"/>
        </w:rPr>
      </w:pPr>
    </w:p>
    <w:p w14:paraId="2D77B2AD" w14:textId="638C9DB4" w:rsidR="008B5D6C" w:rsidRPr="00CE2BB5" w:rsidRDefault="009F132B" w:rsidP="00CE2BB5">
      <w:pPr>
        <w:rPr>
          <w:rFonts w:ascii="Palatino Linotype" w:hAnsi="Palatino Linotype" w:cstheme="minorHAnsi"/>
          <w:color w:val="44546A" w:themeColor="text2"/>
        </w:rPr>
      </w:pPr>
      <w:r w:rsidRPr="008471B2">
        <w:rPr>
          <w:rFonts w:ascii="Palatino Linotype" w:hAnsi="Palatino Linotype" w:cstheme="minorHAnsi"/>
          <w:color w:val="44546A" w:themeColor="text2"/>
        </w:rPr>
        <w:br w:type="page"/>
      </w:r>
    </w:p>
    <w:p w14:paraId="42BF6700" w14:textId="59105F7E" w:rsidR="00295CDB" w:rsidRDefault="009C7604" w:rsidP="008471B2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bookmarkStart w:id="1" w:name="_Hlk178581774"/>
      <w:bookmarkStart w:id="2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F15DFC">
        <w:rPr>
          <w:rFonts w:ascii="Palatino Linotype" w:hAnsi="Palatino Linotype" w:cstheme="minorHAnsi"/>
          <w:b/>
          <w:bCs/>
          <w:color w:val="44546A" w:themeColor="text2"/>
          <w:u w:val="single"/>
        </w:rPr>
        <w:t>2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295CDB">
        <w:rPr>
          <w:rFonts w:ascii="Palatino Linotype" w:hAnsi="Palatino Linotype" w:cstheme="minorHAnsi"/>
          <w:b/>
          <w:bCs/>
          <w:color w:val="44546A" w:themeColor="text2"/>
          <w:u w:val="single"/>
        </w:rPr>
        <w:t>VALEUR TECHNIQUE</w:t>
      </w:r>
      <w:r w:rsidR="005356F7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</w:t>
      </w:r>
      <w:r w:rsidR="00295CDB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– NOTE SUR 100 PONDERE A </w:t>
      </w:r>
      <w:r w:rsidR="00E6702F">
        <w:rPr>
          <w:rFonts w:ascii="Palatino Linotype" w:hAnsi="Palatino Linotype" w:cstheme="minorHAnsi"/>
          <w:b/>
          <w:bCs/>
          <w:color w:val="44546A" w:themeColor="text2"/>
          <w:u w:val="single"/>
        </w:rPr>
        <w:t>45</w:t>
      </w:r>
      <w:r w:rsidR="00295CDB">
        <w:rPr>
          <w:rFonts w:ascii="Palatino Linotype" w:hAnsi="Palatino Linotype" w:cstheme="minorHAnsi"/>
          <w:b/>
          <w:bCs/>
          <w:color w:val="44546A" w:themeColor="text2"/>
          <w:u w:val="single"/>
        </w:rPr>
        <w:t>%</w:t>
      </w:r>
    </w:p>
    <w:bookmarkEnd w:id="1"/>
    <w:p w14:paraId="1C47ECE3" w14:textId="274EB44B" w:rsidR="003B4BAB" w:rsidRPr="00D173D6" w:rsidRDefault="003B4BAB" w:rsidP="008432D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F15DF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F15DF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Gestion des noms de domaine, du DNS et Extranet -</w:t>
      </w:r>
      <w:r w:rsidR="007256C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9F249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55</w:t>
      </w:r>
      <w:r w:rsidR="007256C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284C1313" w14:textId="080B86B1" w:rsidR="00F15DFC" w:rsidRDefault="00F15DFC" w:rsidP="00F15DFC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  <w:r w:rsidRPr="008206D6">
        <w:rPr>
          <w:rFonts w:ascii="Palatino Linotype" w:hAnsi="Palatino Linotype"/>
          <w:sz w:val="18"/>
          <w:szCs w:val="18"/>
        </w:rPr>
        <w:t xml:space="preserve">Le </w:t>
      </w:r>
      <w:r>
        <w:rPr>
          <w:rFonts w:ascii="Palatino Linotype" w:hAnsi="Palatino Linotype"/>
          <w:sz w:val="18"/>
          <w:szCs w:val="18"/>
        </w:rPr>
        <w:t>soumissionnaire</w:t>
      </w:r>
      <w:r w:rsidRPr="008206D6">
        <w:rPr>
          <w:rFonts w:ascii="Palatino Linotype" w:hAnsi="Palatino Linotype"/>
          <w:sz w:val="18"/>
          <w:szCs w:val="18"/>
        </w:rPr>
        <w:t xml:space="preserve"> </w:t>
      </w:r>
      <w:r w:rsidRPr="00604DD5">
        <w:rPr>
          <w:rFonts w:ascii="Palatino Linotype" w:hAnsi="Palatino Linotype"/>
          <w:sz w:val="18"/>
          <w:szCs w:val="18"/>
        </w:rPr>
        <w:t xml:space="preserve">présente son offre pour la gestion des Noms de domaine en réponse au CCTP, en explicitant en particulier </w:t>
      </w:r>
      <w:r w:rsidRPr="00604DD5">
        <w:rPr>
          <w:rFonts w:ascii="Palatino Linotype" w:hAnsi="Palatino Linotype"/>
          <w:b/>
          <w:bCs/>
          <w:sz w:val="18"/>
          <w:szCs w:val="18"/>
        </w:rPr>
        <w:t>la gestion du D</w:t>
      </w:r>
      <w:r>
        <w:rPr>
          <w:rFonts w:ascii="Palatino Linotype" w:hAnsi="Palatino Linotype"/>
          <w:b/>
          <w:bCs/>
          <w:sz w:val="18"/>
          <w:szCs w:val="18"/>
        </w:rPr>
        <w:t>NS</w:t>
      </w:r>
      <w:r w:rsidRPr="00604DD5">
        <w:rPr>
          <w:rFonts w:ascii="Palatino Linotype" w:hAnsi="Palatino Linotype"/>
          <w:b/>
          <w:bCs/>
          <w:sz w:val="18"/>
          <w:szCs w:val="18"/>
        </w:rPr>
        <w:t xml:space="preserve"> et l’Extranet</w:t>
      </w:r>
      <w:r w:rsidRPr="00604DD5">
        <w:rPr>
          <w:rFonts w:ascii="Palatino Linotype" w:hAnsi="Palatino Linotype"/>
          <w:sz w:val="18"/>
          <w:szCs w:val="18"/>
        </w:rPr>
        <w:t xml:space="preserve"> décrit aux chapitres 4.6 et 4.7</w:t>
      </w:r>
      <w:r>
        <w:rPr>
          <w:rFonts w:ascii="Palatino Linotype" w:hAnsi="Palatino Linotype"/>
          <w:sz w:val="18"/>
          <w:szCs w:val="18"/>
        </w:rPr>
        <w:t xml:space="preserve"> du CCTP.</w:t>
      </w:r>
    </w:p>
    <w:p w14:paraId="09847B8D" w14:textId="7B1BCD72" w:rsidR="00F15DFC" w:rsidRPr="001408A9" w:rsidRDefault="00F15DFC" w:rsidP="00F15DFC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  <w:r w:rsidRPr="001408A9">
        <w:rPr>
          <w:rFonts w:ascii="Palatino Linotype" w:hAnsi="Palatino Linotype"/>
          <w:sz w:val="18"/>
          <w:szCs w:val="18"/>
        </w:rPr>
        <w:t xml:space="preserve">Le </w:t>
      </w:r>
      <w:r>
        <w:rPr>
          <w:rFonts w:ascii="Palatino Linotype" w:hAnsi="Palatino Linotype"/>
          <w:sz w:val="18"/>
          <w:szCs w:val="18"/>
        </w:rPr>
        <w:t>soumissionnaire</w:t>
      </w:r>
      <w:r w:rsidRPr="001408A9">
        <w:rPr>
          <w:rFonts w:ascii="Palatino Linotype" w:hAnsi="Palatino Linotype"/>
          <w:sz w:val="18"/>
          <w:szCs w:val="18"/>
        </w:rPr>
        <w:t xml:space="preserve"> décrira ce point et la localisation et sécurisation des serveurs</w:t>
      </w:r>
      <w:r>
        <w:rPr>
          <w:rFonts w:ascii="Palatino Linotype" w:hAnsi="Palatino Linotype"/>
          <w:sz w:val="18"/>
          <w:szCs w:val="18"/>
        </w:rPr>
        <w:t>.</w:t>
      </w:r>
    </w:p>
    <w:p w14:paraId="3A8473D0" w14:textId="15AA3947" w:rsidR="00F15DFC" w:rsidRPr="00DC234B" w:rsidRDefault="00F15DFC" w:rsidP="00F15DFC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  <w:r w:rsidRPr="00DC234B">
        <w:rPr>
          <w:rFonts w:ascii="Palatino Linotype" w:hAnsi="Palatino Linotype"/>
          <w:sz w:val="18"/>
          <w:szCs w:val="18"/>
        </w:rPr>
        <w:t xml:space="preserve">Le </w:t>
      </w:r>
      <w:r>
        <w:rPr>
          <w:rFonts w:ascii="Palatino Linotype" w:hAnsi="Palatino Linotype"/>
          <w:sz w:val="18"/>
          <w:szCs w:val="18"/>
        </w:rPr>
        <w:t>soumissionnaire</w:t>
      </w:r>
      <w:r w:rsidRPr="00DC234B">
        <w:rPr>
          <w:rFonts w:ascii="Palatino Linotype" w:hAnsi="Palatino Linotype"/>
          <w:sz w:val="18"/>
          <w:szCs w:val="18"/>
        </w:rPr>
        <w:t xml:space="preserve"> indiquera les actions réalisables via l’extranet.</w:t>
      </w:r>
    </w:p>
    <w:p w14:paraId="065BD71F" w14:textId="2E3E2FD6" w:rsidR="00F15DFC" w:rsidRPr="00DC234B" w:rsidRDefault="00F15DFC" w:rsidP="00F15DFC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  <w:r w:rsidRPr="00DC234B">
        <w:rPr>
          <w:rFonts w:ascii="Palatino Linotype" w:hAnsi="Palatino Linotype"/>
          <w:sz w:val="18"/>
          <w:szCs w:val="18"/>
        </w:rPr>
        <w:t xml:space="preserve">Le </w:t>
      </w:r>
      <w:r>
        <w:rPr>
          <w:rFonts w:ascii="Palatino Linotype" w:hAnsi="Palatino Linotype"/>
          <w:sz w:val="18"/>
          <w:szCs w:val="18"/>
        </w:rPr>
        <w:t>soumissionnaire</w:t>
      </w:r>
      <w:r w:rsidRPr="00DC234B">
        <w:rPr>
          <w:rFonts w:ascii="Palatino Linotype" w:hAnsi="Palatino Linotype"/>
          <w:sz w:val="18"/>
          <w:szCs w:val="18"/>
        </w:rPr>
        <w:t xml:space="preserve"> précisera sa solution et le périmètre couvert</w:t>
      </w:r>
      <w:r>
        <w:rPr>
          <w:rFonts w:ascii="Palatino Linotype" w:hAnsi="Palatino Linotype"/>
          <w:sz w:val="18"/>
          <w:szCs w:val="18"/>
        </w:rPr>
        <w:t>.</w:t>
      </w:r>
    </w:p>
    <w:p w14:paraId="0D0CCEF6" w14:textId="16C483A0" w:rsidR="003B4BAB" w:rsidRDefault="00D173D6" w:rsidP="00295CDB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295CD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 w:rsidRPr="00295CDB">
        <w:rPr>
          <w:rFonts w:cstheme="minorHAnsi"/>
        </w:rPr>
        <w:t xml:space="preserve"> </w:t>
      </w:r>
      <w:r w:rsidRPr="00295CD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 w:rsidRPr="00295CDB"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59E7CC0" w14:textId="77777777" w:rsidR="00295CDB" w:rsidRPr="00D173D6" w:rsidRDefault="00295CDB" w:rsidP="00295CDB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C24BB9F" w14:textId="77777777" w:rsidR="00295CDB" w:rsidRPr="00D173D6" w:rsidRDefault="00295CDB" w:rsidP="00295CDB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C87BDD0" w14:textId="5EA96579" w:rsidR="00295CDB" w:rsidRPr="00D173D6" w:rsidRDefault="00295CDB" w:rsidP="00D173D6">
      <w:pPr>
        <w:spacing w:after="200" w:line="276" w:lineRule="auto"/>
        <w:ind w:left="705"/>
        <w:jc w:val="both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748C8" wp14:editId="4C6DC52D">
                <wp:simplePos x="0" y="0"/>
                <wp:positionH relativeFrom="column">
                  <wp:posOffset>614680</wp:posOffset>
                </wp:positionH>
                <wp:positionV relativeFrom="paragraph">
                  <wp:posOffset>12065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left:0;text-align:left;margin-left:48.4pt;margin-top:.9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bookmarkEnd w:id="2"/>
    <w:p w14:paraId="16F72720" w14:textId="4F85E4DA" w:rsidR="00C6377B" w:rsidRDefault="00C6377B" w:rsidP="003B4BAB">
      <w:pPr>
        <w:spacing w:line="276" w:lineRule="auto"/>
        <w:rPr>
          <w:rFonts w:ascii="Palatino Linotype" w:hAnsi="Palatino Linotype" w:cs="Arial"/>
          <w:sz w:val="24"/>
          <w:szCs w:val="24"/>
        </w:rPr>
      </w:pPr>
    </w:p>
    <w:p w14:paraId="7574B173" w14:textId="4ABBD681" w:rsidR="00FF6848" w:rsidRPr="008471B2" w:rsidRDefault="00F432A0" w:rsidP="0015073D">
      <w:pPr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br w:type="page"/>
      </w:r>
    </w:p>
    <w:p w14:paraId="2AA86EB1" w14:textId="477728DB" w:rsidR="008E613C" w:rsidRPr="008E613C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F15DF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F15DF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Mise en œuvre / Transfert des Noms de domaine - </w:t>
      </w:r>
      <w:r w:rsidR="009F249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 w:rsidR="00E6702F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5</w:t>
      </w:r>
      <w:r w:rsidR="00FF773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7802F5D8" w14:textId="77777777" w:rsidR="008E613C" w:rsidRPr="008E613C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</w:p>
    <w:p w14:paraId="590CDE2A" w14:textId="2FA7B14E" w:rsidR="00F15DFC" w:rsidRPr="00F15DFC" w:rsidRDefault="00F15DFC" w:rsidP="00F15DFC">
      <w:pPr>
        <w:pStyle w:val="Paragraphedeliste"/>
        <w:spacing w:after="200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 w:rsidRPr="00F15DFC">
        <w:rPr>
          <w:rFonts w:ascii="Palatino Linotype" w:hAnsi="Palatino Linotype" w:cstheme="minorHAnsi"/>
          <w:sz w:val="18"/>
          <w:szCs w:val="18"/>
        </w:rPr>
        <w:t xml:space="preserve">Le </w:t>
      </w:r>
      <w:r>
        <w:rPr>
          <w:rFonts w:ascii="Palatino Linotype" w:hAnsi="Palatino Linotype"/>
          <w:sz w:val="18"/>
          <w:szCs w:val="18"/>
        </w:rPr>
        <w:t>soumissionnaire</w:t>
      </w:r>
      <w:r w:rsidRPr="00F15DFC">
        <w:rPr>
          <w:rFonts w:ascii="Palatino Linotype" w:hAnsi="Palatino Linotype" w:cstheme="minorHAnsi"/>
          <w:sz w:val="18"/>
          <w:szCs w:val="18"/>
        </w:rPr>
        <w:t xml:space="preserve"> décrit la méthodologie de reprise des noms de domaine et un calendrier associé selon les éléments fournis dans le CCTP.</w:t>
      </w:r>
      <w:r>
        <w:rPr>
          <w:rFonts w:ascii="Palatino Linotype" w:hAnsi="Palatino Linotype" w:cstheme="minorHAnsi"/>
          <w:sz w:val="18"/>
          <w:szCs w:val="18"/>
        </w:rPr>
        <w:t xml:space="preserve"> </w:t>
      </w:r>
    </w:p>
    <w:p w14:paraId="1B8A7831" w14:textId="30E16C63" w:rsidR="00AB38DD" w:rsidRPr="00AB38DD" w:rsidRDefault="00AB38DD" w:rsidP="00AB38DD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</w:p>
    <w:p w14:paraId="3DCB997F" w14:textId="6AF8D61A" w:rsidR="006D5822" w:rsidRDefault="00C6377B" w:rsidP="00295CDB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C6377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t>..</w:t>
      </w:r>
      <w:r w:rsidR="00CD1632" w:rsidRPr="00295CD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 w:rsidR="00CD1632" w:rsidRPr="00295CDB">
        <w:rPr>
          <w:rFonts w:cstheme="minorHAnsi"/>
        </w:rPr>
        <w:t xml:space="preserve"> </w:t>
      </w:r>
      <w:r w:rsidR="00CD1632" w:rsidRPr="00295CD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 w:rsidR="00CD1632" w:rsidRPr="00295CDB">
        <w:rPr>
          <w:rFonts w:cstheme="minorHAnsi"/>
        </w:rPr>
        <w:t>..................................................................................................................................................</w:t>
      </w:r>
      <w:r w:rsidR="00CD1632"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 w:rsidR="00CD1632">
        <w:rPr>
          <w:rFonts w:cstheme="minorHAnsi"/>
        </w:rPr>
        <w:t xml:space="preserve"> </w:t>
      </w:r>
      <w:r w:rsidR="00CD1632"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 w:rsidR="00CD1632">
        <w:rPr>
          <w:rFonts w:cstheme="minorHAnsi"/>
        </w:rPr>
        <w:t>..................................................................................................................................................</w:t>
      </w:r>
      <w:r w:rsidR="00CD1632"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 w:rsidR="00CD1632">
        <w:rPr>
          <w:rFonts w:cstheme="minorHAnsi"/>
        </w:rPr>
        <w:t xml:space="preserve"> </w:t>
      </w:r>
      <w:r w:rsidR="00CD1632"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 w:rsidR="00CD1632">
        <w:rPr>
          <w:rFonts w:cstheme="minorHAnsi"/>
        </w:rPr>
        <w:t>..................................................................................................................................................</w:t>
      </w:r>
      <w:r w:rsidR="00295CDB"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 w:rsidR="00295CDB">
        <w:rPr>
          <w:rFonts w:cstheme="minorHAnsi"/>
        </w:rPr>
        <w:t>..................................................................................................................................................</w:t>
      </w:r>
      <w:r w:rsidR="00295CDB"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 w:rsidR="00295CDB">
        <w:rPr>
          <w:rFonts w:cstheme="minorHAnsi"/>
        </w:rPr>
        <w:t xml:space="preserve"> </w:t>
      </w:r>
      <w:r w:rsidR="00295CDB"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 w:rsidR="00295CDB">
        <w:rPr>
          <w:rFonts w:cstheme="minorHAnsi"/>
        </w:rPr>
        <w:t>.................................................................................................................................................</w:t>
      </w:r>
      <w:r w:rsidR="00295CDB"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 w:rsidR="00295CDB"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B18BD81" w14:textId="59D6607D" w:rsidR="00295CDB" w:rsidRPr="00295CDB" w:rsidRDefault="00574C35" w:rsidP="00295CDB">
      <w:pPr>
        <w:pStyle w:val="Paragraphedeliste"/>
        <w:spacing w:after="200" w:line="276" w:lineRule="auto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 w:rsidRPr="00574C35"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 w:rsidRPr="00574C35"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 w:rsidRPr="00574C35"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 w:rsidR="00295CDB" w:rsidRPr="003E718B">
        <w:rPr>
          <w:rFonts w:cstheme="minorHAnsi"/>
        </w:rPr>
        <w:t>....</w:t>
      </w:r>
      <w:r w:rsidR="00295CDB"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4A3E07D" w14:textId="2BD89E68" w:rsidR="006D5822" w:rsidRDefault="00F15DFC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53732" wp14:editId="529650B4">
                <wp:simplePos x="0" y="0"/>
                <wp:positionH relativeFrom="margin">
                  <wp:posOffset>702310</wp:posOffset>
                </wp:positionH>
                <wp:positionV relativeFrom="paragraph">
                  <wp:posOffset>106045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30" style="position:absolute;margin-left:55.3pt;margin-top:8.35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za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UMf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238555F" w14:textId="5E70E39B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19FBF16A" w14:textId="77777777" w:rsidR="00BB75AA" w:rsidRDefault="00BB75AA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716E9199" w14:textId="20D5126D" w:rsidR="00E6702F" w:rsidRPr="008E613C" w:rsidRDefault="00E6702F" w:rsidP="00E6702F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2.3 : Moyens humains - 10 points</w:t>
      </w:r>
    </w:p>
    <w:p w14:paraId="39D49670" w14:textId="77777777" w:rsidR="00E6702F" w:rsidRPr="008E613C" w:rsidRDefault="00E6702F" w:rsidP="00E6702F">
      <w:pPr>
        <w:pStyle w:val="Paragraphedeliste"/>
        <w:spacing w:after="200" w:line="276" w:lineRule="auto"/>
        <w:ind w:left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</w:p>
    <w:p w14:paraId="3EE887A8" w14:textId="2C946C6C" w:rsidR="00E6702F" w:rsidRPr="00F15DFC" w:rsidRDefault="00E6702F" w:rsidP="00C26710">
      <w:pPr>
        <w:pStyle w:val="Paragraphedeliste"/>
        <w:spacing w:after="200"/>
        <w:ind w:left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  <w:r w:rsidRPr="00F15DFC">
        <w:rPr>
          <w:rFonts w:ascii="Palatino Linotype" w:hAnsi="Palatino Linotype" w:cstheme="minorHAnsi"/>
          <w:sz w:val="18"/>
          <w:szCs w:val="18"/>
        </w:rPr>
        <w:t xml:space="preserve">Le </w:t>
      </w:r>
      <w:r>
        <w:rPr>
          <w:rFonts w:ascii="Palatino Linotype" w:hAnsi="Palatino Linotype"/>
          <w:sz w:val="18"/>
          <w:szCs w:val="18"/>
        </w:rPr>
        <w:t>soumissionnaire</w:t>
      </w:r>
      <w:r w:rsidRPr="00F15DFC">
        <w:rPr>
          <w:rFonts w:ascii="Palatino Linotype" w:hAnsi="Palatino Linotype" w:cstheme="minorHAnsi"/>
          <w:sz w:val="18"/>
          <w:szCs w:val="18"/>
        </w:rPr>
        <w:t xml:space="preserve"> </w:t>
      </w:r>
      <w:r>
        <w:rPr>
          <w:rFonts w:ascii="Palatino Linotype" w:hAnsi="Palatino Linotype" w:cstheme="minorHAnsi"/>
          <w:sz w:val="18"/>
          <w:szCs w:val="18"/>
        </w:rPr>
        <w:t>présentera les moyens humains dédiés à l’exécution des prestations (notamment présentation des CV et profils).</w:t>
      </w:r>
    </w:p>
    <w:p w14:paraId="79A91098" w14:textId="77777777" w:rsidR="00E6702F" w:rsidRPr="00AB38DD" w:rsidRDefault="00E6702F" w:rsidP="00E6702F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 </w:t>
      </w:r>
    </w:p>
    <w:p w14:paraId="65EE8BE1" w14:textId="77777777" w:rsidR="00E6702F" w:rsidRDefault="00E6702F" w:rsidP="00E6702F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295CD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 w:rsidRPr="00295CDB">
        <w:rPr>
          <w:rFonts w:cstheme="minorHAnsi"/>
        </w:rPr>
        <w:t xml:space="preserve"> </w:t>
      </w:r>
      <w:r w:rsidRPr="00295CD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 w:rsidRPr="00295CDB"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B792FE7" w14:textId="77777777" w:rsidR="00E6702F" w:rsidRPr="00295CDB" w:rsidRDefault="00E6702F" w:rsidP="00E6702F">
      <w:pPr>
        <w:pStyle w:val="Paragraphedeliste"/>
        <w:spacing w:after="200" w:line="276" w:lineRule="auto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32F5961" w14:textId="77777777" w:rsidR="00E6702F" w:rsidRDefault="00E6702F" w:rsidP="00E6702F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152340" wp14:editId="42F60BC4">
                <wp:simplePos x="0" y="0"/>
                <wp:positionH relativeFrom="margin">
                  <wp:posOffset>702310</wp:posOffset>
                </wp:positionH>
                <wp:positionV relativeFrom="paragraph">
                  <wp:posOffset>106045</wp:posOffset>
                </wp:positionV>
                <wp:extent cx="4857750" cy="762000"/>
                <wp:effectExtent l="0" t="0" r="19050" b="19050"/>
                <wp:wrapNone/>
                <wp:docPr id="1564697811" name="Rectangle : coins arrondis 1564697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43AA64" w14:textId="77777777" w:rsidR="00E6702F" w:rsidRPr="00FF6848" w:rsidRDefault="00E6702F" w:rsidP="00E6702F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7EECA008" w14:textId="77777777" w:rsidR="00E6702F" w:rsidRPr="00FF6848" w:rsidRDefault="00E6702F" w:rsidP="00E6702F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6C44DB6" w14:textId="77777777" w:rsidR="00E6702F" w:rsidRPr="00FF6848" w:rsidRDefault="00E6702F" w:rsidP="00E6702F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152340" id="Rectangle : coins arrondis 1564697811" o:spid="_x0000_s1031" style="position:absolute;margin-left:55.3pt;margin-top:8.35pt;width:382.5pt;height:60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4043AA64" w14:textId="77777777" w:rsidR="00E6702F" w:rsidRPr="00FF6848" w:rsidRDefault="00E6702F" w:rsidP="00E6702F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7EECA008" w14:textId="77777777" w:rsidR="00E6702F" w:rsidRPr="00FF6848" w:rsidRDefault="00E6702F" w:rsidP="00E6702F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6C44DB6" w14:textId="77777777" w:rsidR="00E6702F" w:rsidRPr="00FF6848" w:rsidRDefault="00E6702F" w:rsidP="00E6702F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A84BB61" w14:textId="77777777" w:rsidR="00E6702F" w:rsidRDefault="00E6702F" w:rsidP="00E6702F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577BB7B6" w14:textId="77777777" w:rsidR="00E6702F" w:rsidRDefault="00E6702F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sectPr w:rsidR="00E6702F" w:rsidSect="00FA62AD"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D3A96" w14:textId="77777777" w:rsidR="00AE5BFD" w:rsidRDefault="00AE5BFD" w:rsidP="00E907EE">
      <w:pPr>
        <w:spacing w:after="0" w:line="240" w:lineRule="auto"/>
      </w:pPr>
      <w:r>
        <w:separator/>
      </w:r>
    </w:p>
  </w:endnote>
  <w:endnote w:type="continuationSeparator" w:id="0">
    <w:p w14:paraId="5A69499D" w14:textId="77777777" w:rsidR="00AE5BFD" w:rsidRDefault="00AE5BFD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58A12DA8" w:rsidR="005944A2" w:rsidRPr="002978B3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0E00A1" w:rsidRPr="000E00A1">
              <w:rPr>
                <w:rFonts w:ascii="Palatino Linotype" w:hAnsi="Palatino Linotype"/>
                <w:sz w:val="20"/>
                <w:szCs w:val="20"/>
              </w:rPr>
              <w:t xml:space="preserve">LOT </w:t>
            </w:r>
            <w:r w:rsidR="00F15DFC">
              <w:rPr>
                <w:rFonts w:ascii="Palatino Linotype" w:hAnsi="Palatino Linotype"/>
                <w:sz w:val="20"/>
                <w:szCs w:val="20"/>
              </w:rPr>
              <w:t>2 GESTION DES NOMS DE DOMAINE</w:t>
            </w:r>
            <w:r w:rsidR="002978B3" w:rsidRPr="002978B3"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B84C5" w14:textId="77777777" w:rsidR="00AE5BFD" w:rsidRDefault="00AE5BFD" w:rsidP="00E907EE">
      <w:pPr>
        <w:spacing w:after="0" w:line="240" w:lineRule="auto"/>
      </w:pPr>
      <w:r>
        <w:separator/>
      </w:r>
    </w:p>
  </w:footnote>
  <w:footnote w:type="continuationSeparator" w:id="0">
    <w:p w14:paraId="5759B9F6" w14:textId="77777777" w:rsidR="00AE5BFD" w:rsidRDefault="00AE5BFD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6495AF1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;visibility:visible;mso-wrap-style:square" o:bullet="t">
        <v:imagedata r:id="rId1" o:title=""/>
      </v:shape>
    </w:pict>
  </w:numPicBullet>
  <w:numPicBullet w:numPicBulletId="1">
    <w:pict>
      <v:shape w14:anchorId="60E5C4B3" id="_x0000_i1027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028" type="#_x0000_t75" style="width:1070.15pt;height:567.1pt;visibility:visible;mso-wrap-style:square" o:bullet="t">
        <v:imagedata r:id="rId3" o:title="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24BF5"/>
    <w:multiLevelType w:val="hybridMultilevel"/>
    <w:tmpl w:val="859AD6F0"/>
    <w:lvl w:ilvl="0" w:tplc="4328EADC"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F5837"/>
    <w:multiLevelType w:val="hybridMultilevel"/>
    <w:tmpl w:val="7CE60A7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3"/>
  </w:num>
  <w:num w:numId="2" w16cid:durableId="2127578631">
    <w:abstractNumId w:val="8"/>
  </w:num>
  <w:num w:numId="3" w16cid:durableId="1455753098">
    <w:abstractNumId w:val="1"/>
  </w:num>
  <w:num w:numId="4" w16cid:durableId="1672562642">
    <w:abstractNumId w:val="4"/>
  </w:num>
  <w:num w:numId="5" w16cid:durableId="718869573">
    <w:abstractNumId w:val="12"/>
  </w:num>
  <w:num w:numId="6" w16cid:durableId="187106144">
    <w:abstractNumId w:val="5"/>
  </w:num>
  <w:num w:numId="7" w16cid:durableId="1422682541">
    <w:abstractNumId w:val="6"/>
  </w:num>
  <w:num w:numId="8" w16cid:durableId="1615097391">
    <w:abstractNumId w:val="9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0"/>
  </w:num>
  <w:num w:numId="11" w16cid:durableId="801726455">
    <w:abstractNumId w:val="3"/>
  </w:num>
  <w:num w:numId="12" w16cid:durableId="1782721427">
    <w:abstractNumId w:val="2"/>
  </w:num>
  <w:num w:numId="13" w16cid:durableId="1428428341">
    <w:abstractNumId w:val="7"/>
  </w:num>
  <w:num w:numId="14" w16cid:durableId="13546960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27C3A"/>
    <w:rsid w:val="00034807"/>
    <w:rsid w:val="00050624"/>
    <w:rsid w:val="000545CD"/>
    <w:rsid w:val="00072146"/>
    <w:rsid w:val="00076960"/>
    <w:rsid w:val="000848C2"/>
    <w:rsid w:val="00097B6E"/>
    <w:rsid w:val="000C0256"/>
    <w:rsid w:val="000C153C"/>
    <w:rsid w:val="000C5224"/>
    <w:rsid w:val="000D556A"/>
    <w:rsid w:val="000D7F86"/>
    <w:rsid w:val="000E00A1"/>
    <w:rsid w:val="000E5393"/>
    <w:rsid w:val="0013105B"/>
    <w:rsid w:val="00137F83"/>
    <w:rsid w:val="00142316"/>
    <w:rsid w:val="0015073D"/>
    <w:rsid w:val="00155549"/>
    <w:rsid w:val="00172613"/>
    <w:rsid w:val="001A0E92"/>
    <w:rsid w:val="001B7972"/>
    <w:rsid w:val="001E2986"/>
    <w:rsid w:val="001F29BB"/>
    <w:rsid w:val="001F4FDE"/>
    <w:rsid w:val="0020406A"/>
    <w:rsid w:val="00213109"/>
    <w:rsid w:val="002448AF"/>
    <w:rsid w:val="00255273"/>
    <w:rsid w:val="00262A99"/>
    <w:rsid w:val="00264768"/>
    <w:rsid w:val="00295CDB"/>
    <w:rsid w:val="002978B3"/>
    <w:rsid w:val="002B78B2"/>
    <w:rsid w:val="002D32FD"/>
    <w:rsid w:val="002E248F"/>
    <w:rsid w:val="002E5FF9"/>
    <w:rsid w:val="00331CAE"/>
    <w:rsid w:val="00341147"/>
    <w:rsid w:val="003474F5"/>
    <w:rsid w:val="00396DFF"/>
    <w:rsid w:val="003B4BAB"/>
    <w:rsid w:val="003B4F53"/>
    <w:rsid w:val="003D0300"/>
    <w:rsid w:val="00414C70"/>
    <w:rsid w:val="0042770B"/>
    <w:rsid w:val="00432E1F"/>
    <w:rsid w:val="0045166A"/>
    <w:rsid w:val="004529FC"/>
    <w:rsid w:val="00457C8B"/>
    <w:rsid w:val="00467279"/>
    <w:rsid w:val="00475021"/>
    <w:rsid w:val="00492C41"/>
    <w:rsid w:val="0049348A"/>
    <w:rsid w:val="004A706C"/>
    <w:rsid w:val="004C1AFE"/>
    <w:rsid w:val="004C2FF7"/>
    <w:rsid w:val="004C74F4"/>
    <w:rsid w:val="00514DEA"/>
    <w:rsid w:val="005266E7"/>
    <w:rsid w:val="005274DE"/>
    <w:rsid w:val="005356F7"/>
    <w:rsid w:val="00574C35"/>
    <w:rsid w:val="005878F5"/>
    <w:rsid w:val="00592473"/>
    <w:rsid w:val="005944A2"/>
    <w:rsid w:val="005B770F"/>
    <w:rsid w:val="005E1B40"/>
    <w:rsid w:val="0060736A"/>
    <w:rsid w:val="0063402F"/>
    <w:rsid w:val="00653D61"/>
    <w:rsid w:val="00686B25"/>
    <w:rsid w:val="00687763"/>
    <w:rsid w:val="006A7058"/>
    <w:rsid w:val="006B748C"/>
    <w:rsid w:val="006C09CD"/>
    <w:rsid w:val="006D42A0"/>
    <w:rsid w:val="006D5822"/>
    <w:rsid w:val="00712B7E"/>
    <w:rsid w:val="00715359"/>
    <w:rsid w:val="007256C6"/>
    <w:rsid w:val="00726594"/>
    <w:rsid w:val="00730180"/>
    <w:rsid w:val="007341A3"/>
    <w:rsid w:val="0073686C"/>
    <w:rsid w:val="00747E4B"/>
    <w:rsid w:val="00751343"/>
    <w:rsid w:val="007605FD"/>
    <w:rsid w:val="007715FF"/>
    <w:rsid w:val="007864AC"/>
    <w:rsid w:val="0079101C"/>
    <w:rsid w:val="00797545"/>
    <w:rsid w:val="007A5998"/>
    <w:rsid w:val="007A67DB"/>
    <w:rsid w:val="007B4BAD"/>
    <w:rsid w:val="007B4C97"/>
    <w:rsid w:val="007E0F2D"/>
    <w:rsid w:val="007E7944"/>
    <w:rsid w:val="00813F19"/>
    <w:rsid w:val="008206D6"/>
    <w:rsid w:val="00821932"/>
    <w:rsid w:val="00836B67"/>
    <w:rsid w:val="008432DD"/>
    <w:rsid w:val="00846FFB"/>
    <w:rsid w:val="008471B2"/>
    <w:rsid w:val="008707D3"/>
    <w:rsid w:val="00891304"/>
    <w:rsid w:val="008A3B49"/>
    <w:rsid w:val="008A7204"/>
    <w:rsid w:val="008B2589"/>
    <w:rsid w:val="008B28EC"/>
    <w:rsid w:val="008B5D6C"/>
    <w:rsid w:val="008C03B9"/>
    <w:rsid w:val="008C047A"/>
    <w:rsid w:val="008E44A6"/>
    <w:rsid w:val="008E613C"/>
    <w:rsid w:val="008F6EA4"/>
    <w:rsid w:val="00916B9D"/>
    <w:rsid w:val="009218A8"/>
    <w:rsid w:val="00946730"/>
    <w:rsid w:val="00951AB5"/>
    <w:rsid w:val="009613EE"/>
    <w:rsid w:val="009664FC"/>
    <w:rsid w:val="00987A2D"/>
    <w:rsid w:val="00991FEF"/>
    <w:rsid w:val="009929CE"/>
    <w:rsid w:val="00992B4C"/>
    <w:rsid w:val="009B627D"/>
    <w:rsid w:val="009C212C"/>
    <w:rsid w:val="009C43F3"/>
    <w:rsid w:val="009C7604"/>
    <w:rsid w:val="009F132B"/>
    <w:rsid w:val="009F2494"/>
    <w:rsid w:val="00A048C4"/>
    <w:rsid w:val="00A17538"/>
    <w:rsid w:val="00A507D6"/>
    <w:rsid w:val="00A52C84"/>
    <w:rsid w:val="00A56701"/>
    <w:rsid w:val="00A70769"/>
    <w:rsid w:val="00A7672A"/>
    <w:rsid w:val="00A910D7"/>
    <w:rsid w:val="00AB10B9"/>
    <w:rsid w:val="00AB38DD"/>
    <w:rsid w:val="00AD5016"/>
    <w:rsid w:val="00AE1D74"/>
    <w:rsid w:val="00AE4258"/>
    <w:rsid w:val="00AE5BFD"/>
    <w:rsid w:val="00AE6E39"/>
    <w:rsid w:val="00B04C5F"/>
    <w:rsid w:val="00B20EAF"/>
    <w:rsid w:val="00B301DF"/>
    <w:rsid w:val="00B317A0"/>
    <w:rsid w:val="00B467EB"/>
    <w:rsid w:val="00B64013"/>
    <w:rsid w:val="00B72599"/>
    <w:rsid w:val="00B8700B"/>
    <w:rsid w:val="00BA655D"/>
    <w:rsid w:val="00BB75AA"/>
    <w:rsid w:val="00BE195C"/>
    <w:rsid w:val="00BE4D77"/>
    <w:rsid w:val="00C1768B"/>
    <w:rsid w:val="00C26710"/>
    <w:rsid w:val="00C27E74"/>
    <w:rsid w:val="00C4213E"/>
    <w:rsid w:val="00C6377B"/>
    <w:rsid w:val="00C67329"/>
    <w:rsid w:val="00C71678"/>
    <w:rsid w:val="00C74B59"/>
    <w:rsid w:val="00C80EB1"/>
    <w:rsid w:val="00C941E3"/>
    <w:rsid w:val="00CB5733"/>
    <w:rsid w:val="00CD1632"/>
    <w:rsid w:val="00CD40CC"/>
    <w:rsid w:val="00CD552D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74D81"/>
    <w:rsid w:val="00DA2A5D"/>
    <w:rsid w:val="00DD2BBF"/>
    <w:rsid w:val="00DF5F1D"/>
    <w:rsid w:val="00E157B8"/>
    <w:rsid w:val="00E15E72"/>
    <w:rsid w:val="00E34783"/>
    <w:rsid w:val="00E35E2F"/>
    <w:rsid w:val="00E5163D"/>
    <w:rsid w:val="00E56A54"/>
    <w:rsid w:val="00E634C9"/>
    <w:rsid w:val="00E6702F"/>
    <w:rsid w:val="00E722E1"/>
    <w:rsid w:val="00E7671F"/>
    <w:rsid w:val="00E8471E"/>
    <w:rsid w:val="00E907EE"/>
    <w:rsid w:val="00EA1D32"/>
    <w:rsid w:val="00EA285C"/>
    <w:rsid w:val="00EA7C1D"/>
    <w:rsid w:val="00EB2201"/>
    <w:rsid w:val="00ED319F"/>
    <w:rsid w:val="00ED7AAB"/>
    <w:rsid w:val="00EE6036"/>
    <w:rsid w:val="00F0024C"/>
    <w:rsid w:val="00F012B2"/>
    <w:rsid w:val="00F013F0"/>
    <w:rsid w:val="00F13CF7"/>
    <w:rsid w:val="00F15DFC"/>
    <w:rsid w:val="00F432A0"/>
    <w:rsid w:val="00F770A5"/>
    <w:rsid w:val="00F803E3"/>
    <w:rsid w:val="00F868EF"/>
    <w:rsid w:val="00F93CA2"/>
    <w:rsid w:val="00FA2D7D"/>
    <w:rsid w:val="00FA62AD"/>
    <w:rsid w:val="00FA67CB"/>
    <w:rsid w:val="00FA67F6"/>
    <w:rsid w:val="00FB06E8"/>
    <w:rsid w:val="00FB696C"/>
    <w:rsid w:val="00FF6848"/>
    <w:rsid w:val="00FF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Liste normale Car,Liste couleur - Accent 11 Car,lp1 Car,Bull - Bullet niveau 1 Car,Lettre d'introduction Car,Paragrafo elenco1 Car,Paragraphe 3 Car,Listes Car,Liste à puce - Normal Car,STYLE JDA Car,Titre syl 3 Car"/>
    <w:link w:val="Paragraphedeliste"/>
    <w:uiPriority w:val="34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Liste normale,Liste couleur - Accent 11,lp1,Bull - Bullet niveau 1,Lettre d'introduction,Paragrafo elenco1,Paragraphe 3,Listes,Liste à puce - Normal,STYLE JDA,Titre syl 3,Numbered Indented Text,Texte Gauche,Texte de colonne colorée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  <w:style w:type="paragraph" w:customStyle="1" w:styleId="Default">
    <w:name w:val="Default"/>
    <w:rsid w:val="00C176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6.sv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4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E1A4F88C6F064499B24F6A8383A5BD" ma:contentTypeVersion="3" ma:contentTypeDescription="Crée un document." ma:contentTypeScope="" ma:versionID="f57bd4225ed9ed95241b95ff0e97285b">
  <xsd:schema xmlns:xsd="http://www.w3.org/2001/XMLSchema" xmlns:xs="http://www.w3.org/2001/XMLSchema" xmlns:p="http://schemas.microsoft.com/office/2006/metadata/properties" xmlns:ns2="3d232a32-09c3-4971-a4f1-e60287e3c34d" targetNamespace="http://schemas.microsoft.com/office/2006/metadata/properties" ma:root="true" ma:fieldsID="28ef860467049ef36e3e7df71d1faf34" ns2:_="">
    <xsd:import namespace="3d232a32-09c3-4971-a4f1-e60287e3c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32a32-09c3-4971-a4f1-e60287e3c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02123C-C941-4D7C-8722-141045BE4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232a32-09c3-4971-a4f1-e60287e3c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6E29F-D6B3-47BC-8D39-D36280E552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2777A2-64BF-4ED2-85C2-6EFB0CCFCE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1992</Words>
  <Characters>10957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BRICCA Stéphane</cp:lastModifiedBy>
  <cp:revision>2</cp:revision>
  <cp:lastPrinted>2022-06-09T07:40:00Z</cp:lastPrinted>
  <dcterms:created xsi:type="dcterms:W3CDTF">2025-07-25T15:27:00Z</dcterms:created>
  <dcterms:modified xsi:type="dcterms:W3CDTF">2025-07-25T15:27:00Z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0x010100EAE1A4F88C6F064499B24F6A8383A5BD</vt:lpwstr>
  </property>
</Properties>
</file>